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8B53E">
      <w:pPr>
        <w:jc w:val="center"/>
        <w:rPr>
          <w:rFonts w:ascii="黑体" w:hAnsi="黑体" w:eastAsia="黑体" w:cs="宋体"/>
          <w:color w:val="000000" w:themeColor="text1"/>
          <w:sz w:val="32"/>
          <w:szCs w:val="32"/>
          <w14:textFill>
            <w14:solidFill>
              <w14:schemeClr w14:val="tx1"/>
            </w14:solidFill>
          </w14:textFill>
        </w:rPr>
      </w:pPr>
      <w:r>
        <w:rPr>
          <w:rFonts w:ascii="黑体" w:hAnsi="黑体" w:eastAsia="黑体" w:cs="宋体"/>
          <w:color w:val="000000" w:themeColor="text1"/>
          <w:sz w:val="32"/>
          <w:szCs w:val="32"/>
          <w14:textFill>
            <w14:solidFill>
              <w14:schemeClr w14:val="tx1"/>
            </w14:solidFill>
          </w14:textFill>
        </w:rPr>
        <w:t>《</w:t>
      </w:r>
      <w:r>
        <w:rPr>
          <w:rFonts w:hint="eastAsia" w:ascii="黑体" w:hAnsi="黑体" w:eastAsia="黑体" w:cs="宋体"/>
          <w:color w:val="000000" w:themeColor="text1"/>
          <w:sz w:val="32"/>
          <w:szCs w:val="32"/>
          <w14:textFill>
            <w14:solidFill>
              <w14:schemeClr w14:val="tx1"/>
            </w14:solidFill>
          </w14:textFill>
        </w:rPr>
        <w:t>绿杨春茶实物样制作规范</w:t>
      </w:r>
      <w:r>
        <w:rPr>
          <w:rFonts w:ascii="黑体" w:hAnsi="黑体" w:eastAsia="黑体" w:cs="宋体"/>
          <w:color w:val="000000" w:themeColor="text1"/>
          <w:sz w:val="32"/>
          <w:szCs w:val="32"/>
          <w14:textFill>
            <w14:solidFill>
              <w14:schemeClr w14:val="tx1"/>
            </w14:solidFill>
          </w14:textFill>
        </w:rPr>
        <w:t>》地方标准编制说明</w:t>
      </w:r>
    </w:p>
    <w:p w14:paraId="1903A802">
      <w:pPr>
        <w:jc w:val="center"/>
        <w:rPr>
          <w:rFonts w:ascii="宋体" w:hAnsi="宋体" w:eastAsia="宋体" w:cs="宋体"/>
          <w:color w:val="000000" w:themeColor="text1"/>
          <w:sz w:val="24"/>
          <w:szCs w:val="24"/>
          <w14:textFill>
            <w14:solidFill>
              <w14:schemeClr w14:val="tx1"/>
            </w14:solidFill>
          </w14:textFill>
        </w:rPr>
      </w:pPr>
    </w:p>
    <w:p w14:paraId="44AC0DD5">
      <w:pPr>
        <w:pStyle w:val="10"/>
        <w:numPr>
          <w:ilvl w:val="0"/>
          <w:numId w:val="2"/>
        </w:numPr>
        <w:ind w:firstLineChars="0"/>
        <w:rPr>
          <w:b/>
          <w:bCs/>
          <w:sz w:val="28"/>
          <w:szCs w:val="28"/>
        </w:rPr>
      </w:pPr>
      <w:r>
        <w:rPr>
          <w:rFonts w:hint="eastAsia"/>
          <w:b/>
          <w:bCs/>
          <w:sz w:val="28"/>
          <w:szCs w:val="28"/>
        </w:rPr>
        <w:t>目的意义</w:t>
      </w:r>
    </w:p>
    <w:p w14:paraId="5129EC20">
      <w:pPr>
        <w:tabs>
          <w:tab w:val="left" w:pos="312"/>
        </w:tabs>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1、产业发展现状</w:t>
      </w:r>
    </w:p>
    <w:p w14:paraId="1FFEFF57">
      <w:pPr>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目前扬州地区茶园种植面积3.5万亩，年产干茶约800多吨。2011年</w:t>
      </w:r>
      <w:r>
        <w:rPr>
          <w:rFonts w:hint="eastAsia" w:ascii="宋体" w:hAnsi="宋体" w:eastAsia="宋体" w:cs="宋体"/>
          <w:color w:val="333333"/>
          <w:sz w:val="24"/>
          <w:szCs w:val="24"/>
          <w:shd w:val="clear" w:color="auto" w:fill="FFFFFF"/>
        </w:rPr>
        <w:t>中华人民共和国农业部批准对“仪征绿杨春”实施农产品地理标志登记保护</w:t>
      </w:r>
      <w:r>
        <w:rPr>
          <w:rFonts w:hint="eastAsia" w:ascii="宋体" w:hAnsi="宋体" w:eastAsia="宋体" w:cs="宋体"/>
          <w:color w:val="000000" w:themeColor="text1"/>
          <w:sz w:val="24"/>
          <w:szCs w:val="24"/>
          <w14:textFill>
            <w14:solidFill>
              <w14:schemeClr w14:val="tx1"/>
            </w14:solidFill>
          </w14:textFill>
        </w:rPr>
        <w:t>，2017年仪征绿杨春茶被授予“首批通过中国森林认证茗茶品牌”。同时随着种植面积扩大，生产规模，生产条件，生产要求等发生变化，目前需要进一步加强品牌管理,完善品牌标准;</w:t>
      </w:r>
    </w:p>
    <w:p w14:paraId="21941285">
      <w:pPr>
        <w:spacing w:before="156" w:beforeLines="50"/>
        <w:ind w:firstLine="480" w:firstLineChars="200"/>
        <w:jc w:val="lef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、必要性</w:t>
      </w:r>
    </w:p>
    <w:p w14:paraId="5874F0F2">
      <w:pPr>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本标准符合《省政府办公厅关于转发加强农业农村标准化促进乡村振兴实施意见的通知》确定的重点工作任务,即围绕发展现代农业和实施乡村振兴战略,而制定的、符合我省重点打造的优势特色农业产业的标准。2.为配合新近颁布的地理标志农产品的宣传、推广和实施等，申请本项目。3.无统一的标准，极大限制“仪征绿杨春茶”产业发展。4.潜在的绿杨春从业人员亟霄一份指导手册，进行高质量生产。</w:t>
      </w:r>
    </w:p>
    <w:p w14:paraId="21631594">
      <w:pPr>
        <w:spacing w:before="156" w:beforeLines="50"/>
        <w:ind w:firstLine="480" w:firstLineChars="200"/>
        <w:jc w:val="lef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、可行性</w:t>
      </w:r>
    </w:p>
    <w:p w14:paraId="6F3ED68E">
      <w:pPr>
        <w:ind w:firstLine="480" w:firstLineChars="200"/>
        <w:rPr>
          <w:rFonts w:eastAsia="宋体"/>
          <w:color w:val="auto"/>
        </w:rPr>
      </w:pPr>
      <w:r>
        <w:rPr>
          <w:rFonts w:hint="eastAsia" w:ascii="宋体" w:hAnsi="宋体" w:eastAsia="宋体" w:cs="宋体"/>
          <w:color w:val="000000" w:themeColor="text1"/>
          <w:sz w:val="24"/>
          <w:szCs w:val="24"/>
          <w14:textFill>
            <w14:solidFill>
              <w14:schemeClr w14:val="tx1"/>
            </w14:solidFill>
          </w14:textFill>
        </w:rPr>
        <w:t>仪征市绿杨春茶叶行业协会现有会员单位</w:t>
      </w:r>
      <w:r>
        <w:rPr>
          <w:rFonts w:hint="eastAsia" w:ascii="宋体" w:hAnsi="宋体" w:eastAsia="宋体" w:cs="宋体"/>
          <w:color w:val="000000" w:themeColor="text1"/>
          <w:sz w:val="24"/>
          <w:szCs w:val="24"/>
          <w:lang w:val="en-US" w:eastAsia="zh-CN"/>
          <w14:textFill>
            <w14:solidFill>
              <w14:schemeClr w14:val="tx1"/>
            </w14:solidFill>
          </w14:textFill>
        </w:rPr>
        <w:t>70</w:t>
      </w:r>
      <w:r>
        <w:rPr>
          <w:rFonts w:hint="eastAsia" w:ascii="宋体" w:hAnsi="宋体" w:eastAsia="宋体" w:cs="宋体"/>
          <w:color w:val="000000" w:themeColor="text1"/>
          <w:sz w:val="24"/>
          <w:szCs w:val="24"/>
          <w14:textFill>
            <w14:solidFill>
              <w14:schemeClr w14:val="tx1"/>
            </w14:solidFill>
          </w14:textFill>
        </w:rPr>
        <w:t>家，生产的茶叶主要是绿杨春茶，《绿杨春茶实物样制作规范》地方标准发布实施之前，没有统一的实物样制作规范，产品质量良莠不齐，《绿杨春茶实物样制作规范》地方标准发布实施后，所有企业都能按照地方标准组织</w:t>
      </w:r>
      <w:r>
        <w:rPr>
          <w:rFonts w:hint="eastAsia" w:ascii="宋体" w:hAnsi="宋体" w:eastAsia="宋体" w:cs="宋体"/>
          <w:color w:val="auto"/>
          <w:sz w:val="24"/>
          <w:szCs w:val="24"/>
        </w:rPr>
        <w:t>生产，有了标准化的</w:t>
      </w:r>
      <w:r>
        <w:rPr>
          <w:rFonts w:hint="eastAsia" w:ascii="宋体" w:hAnsi="宋体" w:eastAsia="宋体" w:cs="宋体"/>
          <w:color w:val="auto"/>
          <w:sz w:val="24"/>
          <w:szCs w:val="24"/>
          <w:lang w:val="en-US" w:eastAsia="zh-CN"/>
        </w:rPr>
        <w:t>制作规范，助力茶企</w:t>
      </w:r>
      <w:r>
        <w:rPr>
          <w:rFonts w:hint="eastAsia" w:ascii="宋体" w:hAnsi="宋体" w:eastAsia="宋体" w:cs="宋体"/>
          <w:color w:val="auto"/>
          <w:sz w:val="24"/>
          <w:szCs w:val="24"/>
        </w:rPr>
        <w:t>取得</w:t>
      </w:r>
      <w:r>
        <w:rPr>
          <w:rFonts w:hint="eastAsia" w:ascii="宋体" w:hAnsi="宋体" w:eastAsia="宋体" w:cs="宋体"/>
          <w:color w:val="auto"/>
          <w:sz w:val="24"/>
          <w:szCs w:val="24"/>
          <w:lang w:val="en-US" w:eastAsia="zh-CN"/>
        </w:rPr>
        <w:t>更</w:t>
      </w:r>
      <w:r>
        <w:rPr>
          <w:rFonts w:hint="eastAsia" w:ascii="宋体" w:hAnsi="宋体" w:eastAsia="宋体" w:cs="宋体"/>
          <w:color w:val="auto"/>
          <w:sz w:val="24"/>
          <w:szCs w:val="24"/>
        </w:rPr>
        <w:t>好的经济和社会效益。</w:t>
      </w:r>
    </w:p>
    <w:p w14:paraId="72DCD738">
      <w:pPr>
        <w:pStyle w:val="10"/>
        <w:numPr>
          <w:ilvl w:val="0"/>
          <w:numId w:val="2"/>
        </w:numPr>
        <w:ind w:firstLineChars="0"/>
        <w:rPr>
          <w:b/>
          <w:bCs/>
          <w:sz w:val="24"/>
          <w:szCs w:val="24"/>
        </w:rPr>
      </w:pPr>
      <w:r>
        <w:rPr>
          <w:rFonts w:hint="eastAsia"/>
          <w:b/>
          <w:bCs/>
          <w:sz w:val="28"/>
          <w:szCs w:val="28"/>
        </w:rPr>
        <w:t>任务来源</w:t>
      </w:r>
    </w:p>
    <w:p w14:paraId="134B0947">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省市场监管局关于下达 2023 年度 </w:t>
      </w:r>
      <w:r>
        <w:rPr>
          <w:rFonts w:hint="default" w:ascii="宋体" w:hAnsi="宋体" w:eastAsia="宋体" w:cs="宋体"/>
          <w:color w:val="000000" w:themeColor="text1"/>
          <w:sz w:val="24"/>
          <w:szCs w:val="24"/>
          <w:lang w:val="en-US" w:eastAsia="zh-CN"/>
          <w14:textFill>
            <w14:solidFill>
              <w14:schemeClr w14:val="tx1"/>
            </w14:solidFill>
          </w14:textFill>
        </w:rPr>
        <w:t>江苏省地方标准项目计划的通知</w:t>
      </w:r>
      <w:r>
        <w:rPr>
          <w:rFonts w:hint="eastAsia" w:ascii="宋体" w:hAnsi="宋体" w:eastAsia="宋体" w:cs="宋体"/>
          <w:color w:val="000000" w:themeColor="text1"/>
          <w:sz w:val="24"/>
          <w:szCs w:val="24"/>
          <w14:textFill>
            <w14:solidFill>
              <w14:schemeClr w14:val="tx1"/>
            </w14:solidFill>
          </w14:textFill>
        </w:rPr>
        <w:t>》</w:t>
      </w:r>
    </w:p>
    <w:p w14:paraId="49A1D911">
      <w:pPr>
        <w:numPr>
          <w:ilvl w:val="0"/>
          <w:numId w:val="2"/>
        </w:numPr>
        <w:rPr>
          <w:b/>
          <w:bCs/>
          <w:sz w:val="28"/>
          <w:szCs w:val="28"/>
        </w:rPr>
      </w:pPr>
      <w:r>
        <w:rPr>
          <w:rFonts w:hint="eastAsia"/>
          <w:b/>
          <w:bCs/>
          <w:sz w:val="28"/>
          <w:szCs w:val="28"/>
        </w:rPr>
        <w:t>编制过程</w:t>
      </w:r>
    </w:p>
    <w:p w14:paraId="23513D55">
      <w:pPr>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月，经扬州市市场监督管理局批准立项后，成立标准编制项目组。</w:t>
      </w:r>
    </w:p>
    <w:p w14:paraId="32E59311">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月至202</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月，进行资料收集与整理资料，结合各企业实际生产过程中的经验和现代技术的发展，以 DB32/T 1682 《绿杨春茶 茶叶加工技术规程》为基础，参考相关文献资料，遵循 GB/T 1.1-2020《标准化工作导则 第 1 部分：标准的结构和编写》的规定，经项目组多次讨论修改。</w:t>
      </w:r>
    </w:p>
    <w:p w14:paraId="0C03FD46">
      <w:pPr>
        <w:ind w:firstLine="444" w:firstLineChars="200"/>
        <w:rPr>
          <w:rFonts w:asciiTheme="minorEastAsia" w:hAnsiTheme="minorEastAsia" w:cstheme="minorEastAsia"/>
          <w:spacing w:val="-9"/>
          <w:sz w:val="24"/>
          <w:szCs w:val="24"/>
        </w:rPr>
      </w:pPr>
      <w:r>
        <w:rPr>
          <w:rFonts w:hint="eastAsia" w:asciiTheme="minorEastAsia" w:hAnsiTheme="minorEastAsia" w:cstheme="minorEastAsia"/>
          <w:spacing w:val="-9"/>
          <w:sz w:val="24"/>
          <w:szCs w:val="24"/>
        </w:rPr>
        <w:t>202</w:t>
      </w:r>
      <w:r>
        <w:rPr>
          <w:rFonts w:hint="eastAsia" w:asciiTheme="minorEastAsia" w:hAnsiTheme="minorEastAsia" w:cstheme="minorEastAsia"/>
          <w:spacing w:val="-9"/>
          <w:sz w:val="24"/>
          <w:szCs w:val="24"/>
          <w:lang w:val="en-US" w:eastAsia="zh-CN"/>
        </w:rPr>
        <w:t>4</w:t>
      </w:r>
      <w:r>
        <w:rPr>
          <w:rFonts w:hint="eastAsia" w:asciiTheme="minorEastAsia" w:hAnsiTheme="minorEastAsia" w:cstheme="minorEastAsia"/>
          <w:spacing w:val="-9"/>
          <w:sz w:val="24"/>
          <w:szCs w:val="24"/>
        </w:rPr>
        <w:t>年</w:t>
      </w:r>
      <w:r>
        <w:rPr>
          <w:rFonts w:hint="eastAsia" w:asciiTheme="minorEastAsia" w:hAnsiTheme="minorEastAsia" w:cstheme="minorEastAsia"/>
          <w:spacing w:val="-9"/>
          <w:sz w:val="24"/>
          <w:szCs w:val="24"/>
          <w:lang w:val="en-US" w:eastAsia="zh-CN"/>
        </w:rPr>
        <w:t>5</w:t>
      </w:r>
      <w:r>
        <w:rPr>
          <w:rFonts w:hint="eastAsia" w:asciiTheme="minorEastAsia" w:hAnsiTheme="minorEastAsia" w:cstheme="minorEastAsia"/>
          <w:spacing w:val="-9"/>
          <w:sz w:val="24"/>
          <w:szCs w:val="24"/>
        </w:rPr>
        <w:t>月，形成标准征求意见稿。</w:t>
      </w:r>
    </w:p>
    <w:p w14:paraId="4A82F259">
      <w:pPr>
        <w:ind w:firstLine="444" w:firstLineChars="200"/>
        <w:rPr>
          <w:rFonts w:asciiTheme="minorEastAsia" w:hAnsiTheme="minorEastAsia" w:cstheme="minorEastAsia"/>
          <w:spacing w:val="-9"/>
          <w:sz w:val="24"/>
          <w:szCs w:val="24"/>
        </w:rPr>
      </w:pPr>
      <w:r>
        <w:rPr>
          <w:rFonts w:hint="eastAsia" w:asciiTheme="minorEastAsia" w:hAnsiTheme="minorEastAsia" w:cstheme="minorEastAsia"/>
          <w:spacing w:val="-9"/>
          <w:sz w:val="24"/>
          <w:szCs w:val="24"/>
        </w:rPr>
        <w:t>202</w:t>
      </w:r>
      <w:r>
        <w:rPr>
          <w:rFonts w:hint="eastAsia" w:asciiTheme="minorEastAsia" w:hAnsiTheme="minorEastAsia" w:cstheme="minorEastAsia"/>
          <w:spacing w:val="-9"/>
          <w:sz w:val="24"/>
          <w:szCs w:val="24"/>
          <w:lang w:val="en-US" w:eastAsia="zh-CN"/>
        </w:rPr>
        <w:t>4</w:t>
      </w:r>
      <w:r>
        <w:rPr>
          <w:rFonts w:hint="eastAsia" w:asciiTheme="minorEastAsia" w:hAnsiTheme="minorEastAsia" w:cstheme="minorEastAsia"/>
          <w:spacing w:val="-9"/>
          <w:sz w:val="24"/>
          <w:szCs w:val="24"/>
        </w:rPr>
        <w:t>年</w:t>
      </w:r>
      <w:r>
        <w:rPr>
          <w:rFonts w:hint="eastAsia" w:asciiTheme="minorEastAsia" w:hAnsiTheme="minorEastAsia" w:cstheme="minorEastAsia"/>
          <w:spacing w:val="-9"/>
          <w:sz w:val="24"/>
          <w:szCs w:val="24"/>
          <w:lang w:val="en-US" w:eastAsia="zh-CN"/>
        </w:rPr>
        <w:t>6</w:t>
      </w:r>
      <w:r>
        <w:rPr>
          <w:rFonts w:hint="eastAsia" w:asciiTheme="minorEastAsia" w:hAnsiTheme="minorEastAsia" w:cstheme="minorEastAsia"/>
          <w:spacing w:val="-9"/>
          <w:sz w:val="24"/>
          <w:szCs w:val="24"/>
        </w:rPr>
        <w:t>月，征求专家意见。</w:t>
      </w:r>
    </w:p>
    <w:p w14:paraId="14FD743C">
      <w:pPr>
        <w:ind w:firstLine="444" w:firstLineChars="200"/>
        <w:rPr>
          <w:rFonts w:asciiTheme="minorEastAsia" w:hAnsiTheme="minorEastAsia" w:cstheme="minorEastAsia"/>
          <w:spacing w:val="-9"/>
          <w:sz w:val="24"/>
          <w:szCs w:val="24"/>
        </w:rPr>
      </w:pPr>
      <w:r>
        <w:rPr>
          <w:rFonts w:hint="eastAsia" w:asciiTheme="minorEastAsia" w:hAnsiTheme="minorEastAsia" w:cstheme="minorEastAsia"/>
          <w:spacing w:val="-9"/>
          <w:sz w:val="24"/>
          <w:szCs w:val="24"/>
        </w:rPr>
        <w:t>202</w:t>
      </w:r>
      <w:r>
        <w:rPr>
          <w:rFonts w:hint="eastAsia" w:asciiTheme="minorEastAsia" w:hAnsiTheme="minorEastAsia" w:cstheme="minorEastAsia"/>
          <w:spacing w:val="-9"/>
          <w:sz w:val="24"/>
          <w:szCs w:val="24"/>
          <w:lang w:val="en-US" w:eastAsia="zh-CN"/>
        </w:rPr>
        <w:t>4</w:t>
      </w:r>
      <w:r>
        <w:rPr>
          <w:rFonts w:hint="eastAsia" w:asciiTheme="minorEastAsia" w:hAnsiTheme="minorEastAsia" w:cstheme="minorEastAsia"/>
          <w:spacing w:val="-9"/>
          <w:sz w:val="24"/>
          <w:szCs w:val="24"/>
        </w:rPr>
        <w:t>年</w:t>
      </w:r>
      <w:r>
        <w:rPr>
          <w:rFonts w:hint="eastAsia" w:asciiTheme="minorEastAsia" w:hAnsiTheme="minorEastAsia" w:cstheme="minorEastAsia"/>
          <w:spacing w:val="-9"/>
          <w:sz w:val="24"/>
          <w:szCs w:val="24"/>
          <w:lang w:val="en-US" w:eastAsia="zh-CN"/>
        </w:rPr>
        <w:t>7</w:t>
      </w:r>
      <w:r>
        <w:rPr>
          <w:rFonts w:hint="eastAsia" w:asciiTheme="minorEastAsia" w:hAnsiTheme="minorEastAsia" w:cstheme="minorEastAsia"/>
          <w:spacing w:val="-9"/>
          <w:sz w:val="24"/>
          <w:szCs w:val="24"/>
        </w:rPr>
        <w:t>月，回收专家意见，根据专家意见修改标准。</w:t>
      </w:r>
    </w:p>
    <w:p w14:paraId="758CBCA4">
      <w:pPr>
        <w:ind w:firstLine="444" w:firstLineChars="200"/>
        <w:rPr>
          <w:rFonts w:hint="eastAsia" w:asciiTheme="minorEastAsia" w:hAnsiTheme="minorEastAsia" w:cstheme="minorEastAsia"/>
          <w:spacing w:val="-9"/>
          <w:sz w:val="24"/>
          <w:szCs w:val="24"/>
        </w:rPr>
      </w:pPr>
      <w:r>
        <w:rPr>
          <w:rFonts w:hint="eastAsia" w:asciiTheme="minorEastAsia" w:hAnsiTheme="minorEastAsia" w:cstheme="minorEastAsia"/>
          <w:spacing w:val="-9"/>
          <w:sz w:val="24"/>
          <w:szCs w:val="24"/>
        </w:rPr>
        <w:t>202</w:t>
      </w:r>
      <w:r>
        <w:rPr>
          <w:rFonts w:hint="eastAsia" w:asciiTheme="minorEastAsia" w:hAnsiTheme="minorEastAsia" w:cstheme="minorEastAsia"/>
          <w:spacing w:val="-9"/>
          <w:sz w:val="24"/>
          <w:szCs w:val="24"/>
          <w:lang w:val="en-US" w:eastAsia="zh-CN"/>
        </w:rPr>
        <w:t>4</w:t>
      </w:r>
      <w:r>
        <w:rPr>
          <w:rFonts w:hint="eastAsia" w:asciiTheme="minorEastAsia" w:hAnsiTheme="minorEastAsia" w:cstheme="minorEastAsia"/>
          <w:spacing w:val="-9"/>
          <w:sz w:val="24"/>
          <w:szCs w:val="24"/>
        </w:rPr>
        <w:t>年</w:t>
      </w:r>
      <w:r>
        <w:rPr>
          <w:rFonts w:hint="eastAsia" w:asciiTheme="minorEastAsia" w:hAnsiTheme="minorEastAsia" w:cstheme="minorEastAsia"/>
          <w:spacing w:val="-9"/>
          <w:sz w:val="24"/>
          <w:szCs w:val="24"/>
          <w:lang w:val="en-US" w:eastAsia="zh-CN"/>
        </w:rPr>
        <w:t>8</w:t>
      </w:r>
      <w:r>
        <w:rPr>
          <w:rFonts w:hint="eastAsia" w:asciiTheme="minorEastAsia" w:hAnsiTheme="minorEastAsia" w:cstheme="minorEastAsia"/>
          <w:spacing w:val="-9"/>
          <w:sz w:val="24"/>
          <w:szCs w:val="24"/>
        </w:rPr>
        <w:t>月形成标准送审稿。</w:t>
      </w:r>
    </w:p>
    <w:p w14:paraId="7109A5F3">
      <w:pPr>
        <w:ind w:firstLine="444" w:firstLineChars="200"/>
        <w:rPr>
          <w:rFonts w:hint="eastAsia" w:asciiTheme="minorEastAsia" w:hAnsiTheme="minorEastAsia" w:cstheme="minorEastAsia"/>
          <w:spacing w:val="-9"/>
          <w:sz w:val="24"/>
          <w:szCs w:val="24"/>
        </w:rPr>
      </w:pPr>
      <w:bookmarkStart w:id="0" w:name="_GoBack"/>
      <w:bookmarkEnd w:id="0"/>
    </w:p>
    <w:p w14:paraId="3E93F8BA">
      <w:pPr>
        <w:ind w:firstLine="444" w:firstLineChars="200"/>
        <w:rPr>
          <w:rFonts w:hint="eastAsia" w:asciiTheme="minorEastAsia" w:hAnsiTheme="minorEastAsia" w:cstheme="minorEastAsia"/>
          <w:spacing w:val="-9"/>
          <w:sz w:val="24"/>
          <w:szCs w:val="24"/>
        </w:rPr>
      </w:pPr>
    </w:p>
    <w:p w14:paraId="02FEE32D">
      <w:pPr>
        <w:ind w:firstLine="444" w:firstLineChars="200"/>
        <w:rPr>
          <w:rFonts w:hint="eastAsia" w:asciiTheme="minorEastAsia" w:hAnsiTheme="minorEastAsia" w:cstheme="minorEastAsia"/>
          <w:spacing w:val="-9"/>
          <w:sz w:val="24"/>
          <w:szCs w:val="24"/>
        </w:rPr>
      </w:pPr>
    </w:p>
    <w:p w14:paraId="164269FE">
      <w:pPr>
        <w:ind w:firstLine="444" w:firstLineChars="200"/>
        <w:rPr>
          <w:rFonts w:hint="eastAsia" w:asciiTheme="minorEastAsia" w:hAnsiTheme="minorEastAsia" w:cstheme="minorEastAsia"/>
          <w:spacing w:val="-9"/>
          <w:sz w:val="24"/>
          <w:szCs w:val="24"/>
        </w:rPr>
      </w:pPr>
    </w:p>
    <w:p w14:paraId="03C6BCC2">
      <w:pPr>
        <w:ind w:firstLine="444" w:firstLineChars="200"/>
        <w:rPr>
          <w:rFonts w:hint="eastAsia" w:asciiTheme="minorEastAsia" w:hAnsiTheme="minorEastAsia" w:cstheme="minorEastAsia"/>
          <w:spacing w:val="-9"/>
          <w:sz w:val="24"/>
          <w:szCs w:val="24"/>
        </w:rPr>
      </w:pPr>
    </w:p>
    <w:p w14:paraId="7FF69D00">
      <w:pPr>
        <w:numPr>
          <w:ilvl w:val="0"/>
          <w:numId w:val="2"/>
        </w:numPr>
        <w:rPr>
          <w:b/>
          <w:bCs/>
          <w:sz w:val="28"/>
          <w:szCs w:val="28"/>
        </w:rPr>
      </w:pPr>
      <w:r>
        <w:rPr>
          <w:rFonts w:hint="eastAsia"/>
          <w:b/>
          <w:bCs/>
          <w:sz w:val="28"/>
          <w:szCs w:val="28"/>
        </w:rPr>
        <w:t>主要内容技术指标确立</w:t>
      </w:r>
    </w:p>
    <w:p w14:paraId="55F2939F">
      <w:pPr>
        <w:pStyle w:val="2"/>
        <w:spacing w:before="156" w:beforeLines="50" w:after="156" w:afterLines="50" w:line="240" w:lineRule="auto"/>
        <w:ind w:firstLine="480" w:firstLineChars="200"/>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项目立项后，项目组成员认真分析研究了《GB/T 14487-2017茶叶感官审评术语》，《DB32/T 1682绿杨春茶 茶叶加工技术规程》的相关数据，根据绿杨春茶种植与生产的特殊性，参考公开发表的论文及相关文献资料，经过反复的讨论修改，以先进﹑实用﹑合理为原则选择与确立，修订了《绿杨春茶实物样制作规范》标准。其主要内容有11章21条，涉及的内容有标准的范围，规范性引用文件， 术语和定义，生产条件要求，加工人员，基准样制备，实物标准样制备等。内容还包括包装与标识和证书，有效期，使用和保管也做出了明确的说明，同时我们采用走出去，请进来的办法，学习别人的经验加以总结归纳，提炼，制定出符合绿杨春茶的绿杨春茶实物样制作规范。</w:t>
      </w:r>
    </w:p>
    <w:p w14:paraId="278EC382">
      <w:pPr>
        <w:numPr>
          <w:ilvl w:val="0"/>
          <w:numId w:val="2"/>
        </w:numPr>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与相关法律法规和国家标准的关系</w:t>
      </w:r>
    </w:p>
    <w:p w14:paraId="590C61A5">
      <w:pPr>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本标准的编制未违反国家的法律法规，与目前国家标准，行业标准内容没有完全相同的地方。在制定该标准的过程中我们部分参照《DB32/T 1682绿杨春茶 茶叶加工技术规程》作为依据，对绿杨春茶实物样制作规范进行修订。随着现在技术的改进与消费者的要求不断提高，我们在生产实践过程中不断探索、创新和补充，修定了该标准。</w:t>
      </w:r>
    </w:p>
    <w:p w14:paraId="75E5E453">
      <w:pPr>
        <w:numPr>
          <w:ilvl w:val="0"/>
          <w:numId w:val="2"/>
        </w:numPr>
        <w:rPr>
          <w:rFonts w:ascii="宋体" w:hAnsi="宋体" w:eastAsia="宋体" w:cs="宋体"/>
          <w:b/>
          <w:bCs/>
          <w:sz w:val="28"/>
          <w:szCs w:val="28"/>
        </w:rPr>
      </w:pPr>
      <w:r>
        <w:rPr>
          <w:rFonts w:hint="eastAsia" w:ascii="宋体" w:hAnsi="宋体" w:eastAsia="宋体" w:cs="宋体"/>
          <w:b/>
          <w:bCs/>
          <w:sz w:val="28"/>
          <w:szCs w:val="28"/>
        </w:rPr>
        <w:t>实施推广意见</w:t>
      </w:r>
    </w:p>
    <w:p w14:paraId="125EC77A">
      <w:pPr>
        <w:ind w:firstLine="480" w:firstLineChars="200"/>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通过本标准的修订及推广应用，使扬州地区绿杨春茶</w:t>
      </w:r>
      <w:r>
        <w:rPr>
          <w:rFonts w:hint="eastAsia" w:asciiTheme="minorEastAsia" w:hAnsiTheme="minorEastAsia" w:cstheme="minorEastAsia"/>
          <w:sz w:val="24"/>
          <w:szCs w:val="24"/>
        </w:rPr>
        <w:t>绿杨春茶实物样制作</w:t>
      </w:r>
      <w:r>
        <w:rPr>
          <w:rFonts w:hint="eastAsia" w:ascii="宋体" w:hAnsi="宋体" w:eastAsia="宋体" w:cs="宋体"/>
          <w:color w:val="333333"/>
          <w:sz w:val="24"/>
          <w:szCs w:val="24"/>
          <w:shd w:val="clear" w:color="auto" w:fill="FFFFFF"/>
        </w:rPr>
        <w:t>有规可循，确保提高绿杨春茶的产量与质量，为规模化生产，提供技术支撑。本标准通过审查后，建议作为推荐性地方标准发布实施。</w:t>
      </w:r>
    </w:p>
    <w:p w14:paraId="70C40CB3">
      <w:pPr>
        <w:ind w:firstLine="480" w:firstLineChars="200"/>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同时推广过程中，我们需要突出以下几点：</w:t>
      </w:r>
    </w:p>
    <w:p w14:paraId="0B151DCA">
      <w:pPr>
        <w:pStyle w:val="10"/>
        <w:numPr>
          <w:ilvl w:val="0"/>
          <w:numId w:val="3"/>
        </w:numPr>
        <w:tabs>
          <w:tab w:val="left" w:pos="312"/>
        </w:tabs>
        <w:ind w:firstLineChars="0"/>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召开相关会议进行宣传学习本标准的内容和精神，宣传执行标准的目的意义。</w:t>
      </w:r>
    </w:p>
    <w:p w14:paraId="2228EF1F">
      <w:pPr>
        <w:pStyle w:val="10"/>
        <w:numPr>
          <w:ilvl w:val="0"/>
          <w:numId w:val="3"/>
        </w:numPr>
        <w:tabs>
          <w:tab w:val="left" w:pos="312"/>
        </w:tabs>
        <w:ind w:firstLineChars="0"/>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加强对有关人员的标准培训，掌握各个环节的技术要求和操作要领。</w:t>
      </w:r>
    </w:p>
    <w:p w14:paraId="4F9D9CCB">
      <w:pPr>
        <w:tabs>
          <w:tab w:val="left" w:pos="312"/>
        </w:tabs>
        <w:rPr>
          <w:rFonts w:ascii="宋体" w:hAnsi="宋体" w:eastAsia="宋体" w:cs="宋体"/>
          <w:color w:val="333333"/>
          <w:sz w:val="24"/>
          <w:szCs w:val="24"/>
          <w:shd w:val="clear" w:color="auto" w:fill="FFFFFF"/>
        </w:rPr>
      </w:pPr>
      <w:r>
        <w:rPr>
          <w:rFonts w:ascii="宋体" w:hAnsi="宋体" w:eastAsia="宋体" w:cs="宋体"/>
          <w:color w:val="333333"/>
          <w:sz w:val="24"/>
          <w:szCs w:val="24"/>
          <w:shd w:val="clear" w:color="auto" w:fill="FFFFFF"/>
        </w:rPr>
        <w:t>3</w:t>
      </w:r>
      <w:r>
        <w:rPr>
          <w:rFonts w:hint="eastAsia" w:ascii="宋体" w:hAnsi="宋体" w:eastAsia="宋体" w:cs="宋体"/>
          <w:color w:val="333333"/>
          <w:sz w:val="24"/>
          <w:szCs w:val="24"/>
          <w:shd w:val="clear" w:color="auto" w:fill="FFFFFF"/>
        </w:rPr>
        <w:t>、加强标准的执行推广，继续采取走出去、请进来的方法，在生产中学习、实践中运用，在运用中不断提高完善。</w:t>
      </w:r>
    </w:p>
    <w:p w14:paraId="7CF9C620">
      <w:pPr>
        <w:rPr>
          <w:rFonts w:ascii="宋体" w:hAnsi="宋体" w:eastAsia="宋体" w:cs="宋体"/>
          <w:color w:val="000000" w:themeColor="text1"/>
          <w:sz w:val="24"/>
          <w:szCs w:val="24"/>
          <w14:textFill>
            <w14:solidFill>
              <w14:schemeClr w14:val="tx1"/>
            </w14:solidFill>
          </w14:textFill>
        </w:rPr>
      </w:pPr>
    </w:p>
    <w:p w14:paraId="4606C2F2">
      <w:pP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auto"/>
          <w:sz w:val="24"/>
          <w:szCs w:val="24"/>
        </w:rPr>
        <w:t xml:space="preserve">  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004270"/>
      <w:docPartObj>
        <w:docPartGallery w:val="autotext"/>
      </w:docPartObj>
    </w:sdtPr>
    <w:sdtContent>
      <w:p w14:paraId="762B4462">
        <w:pPr>
          <w:pStyle w:val="4"/>
          <w:jc w:val="right"/>
        </w:pPr>
        <w:r>
          <w:fldChar w:fldCharType="begin"/>
        </w:r>
        <w:r>
          <w:instrText xml:space="preserve">PAGE   \* MERGEFORMAT</w:instrText>
        </w:r>
        <w:r>
          <w:fldChar w:fldCharType="separate"/>
        </w:r>
        <w:r>
          <w:rPr>
            <w:lang w:val="zh-CN"/>
          </w:rPr>
          <w:t>2</w:t>
        </w:r>
        <w:r>
          <w:fldChar w:fldCharType="end"/>
        </w:r>
      </w:p>
    </w:sdtContent>
  </w:sdt>
  <w:p w14:paraId="1FA4F4D1">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47301"/>
    <w:multiLevelType w:val="multilevel"/>
    <w:tmpl w:val="0B847301"/>
    <w:lvl w:ilvl="0" w:tentative="0">
      <w:start w:val="1"/>
      <w:numFmt w:val="japaneseCounting"/>
      <w:lvlText w:val="%1、"/>
      <w:lvlJc w:val="left"/>
      <w:pPr>
        <w:ind w:left="570" w:hanging="5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5917C3"/>
    <w:multiLevelType w:val="multilevel"/>
    <w:tmpl w:val="2C5917C3"/>
    <w:lvl w:ilvl="0" w:tentative="0">
      <w:start w:val="1"/>
      <w:numFmt w:val="none"/>
      <w:pStyle w:val="9"/>
      <w:lvlText w:val="%1——"/>
      <w:lvlJc w:val="left"/>
      <w:pPr>
        <w:tabs>
          <w:tab w:val="left" w:pos="851"/>
        </w:tabs>
        <w:ind w:left="-205" w:hanging="426"/>
      </w:pPr>
      <w:rPr>
        <w:rFonts w:hint="eastAsia" w:ascii="宋体" w:hAnsi="Times New Roman" w:eastAsia="宋体"/>
        <w:b w:val="0"/>
        <w:i w:val="0"/>
        <w:sz w:val="21"/>
      </w:rPr>
    </w:lvl>
    <w:lvl w:ilvl="1" w:tentative="0">
      <w:start w:val="1"/>
      <w:numFmt w:val="none"/>
      <w:lvlText w:val=""/>
      <w:lvlJc w:val="left"/>
      <w:pPr>
        <w:ind w:left="-205" w:hanging="431"/>
      </w:pPr>
      <w:rPr>
        <w:rFonts w:hint="default" w:ascii="Symbol" w:hAnsi="Symbol"/>
        <w:sz w:val="21"/>
      </w:rPr>
    </w:lvl>
    <w:lvl w:ilvl="2" w:tentative="0">
      <w:start w:val="1"/>
      <w:numFmt w:val="bullet"/>
      <w:lvlText w:val=""/>
      <w:lvlJc w:val="left"/>
      <w:pPr>
        <w:ind w:left="-205" w:hanging="426"/>
      </w:pPr>
      <w:rPr>
        <w:rFonts w:hint="default" w:ascii="Wingdings" w:hAnsi="Wingdings"/>
        <w:sz w:val="21"/>
      </w:rPr>
    </w:lvl>
    <w:lvl w:ilvl="3" w:tentative="0">
      <w:start w:val="1"/>
      <w:numFmt w:val="decimal"/>
      <w:lvlText w:val="%4."/>
      <w:lvlJc w:val="left"/>
      <w:pPr>
        <w:tabs>
          <w:tab w:val="left" w:pos="2071"/>
        </w:tabs>
        <w:ind w:left="828" w:hanging="528"/>
      </w:pPr>
      <w:rPr>
        <w:rFonts w:hint="eastAsia"/>
      </w:rPr>
    </w:lvl>
    <w:lvl w:ilvl="4" w:tentative="0">
      <w:start w:val="1"/>
      <w:numFmt w:val="lowerLetter"/>
      <w:lvlText w:val="%5)"/>
      <w:lvlJc w:val="left"/>
      <w:pPr>
        <w:tabs>
          <w:tab w:val="left" w:pos="2383"/>
        </w:tabs>
        <w:ind w:left="1140" w:hanging="528"/>
      </w:pPr>
      <w:rPr>
        <w:rFonts w:hint="eastAsia"/>
      </w:rPr>
    </w:lvl>
    <w:lvl w:ilvl="5" w:tentative="0">
      <w:start w:val="1"/>
      <w:numFmt w:val="lowerRoman"/>
      <w:lvlText w:val="%6."/>
      <w:lvlJc w:val="right"/>
      <w:pPr>
        <w:tabs>
          <w:tab w:val="left" w:pos="2695"/>
        </w:tabs>
        <w:ind w:left="1452" w:hanging="528"/>
      </w:pPr>
      <w:rPr>
        <w:rFonts w:hint="eastAsia"/>
      </w:rPr>
    </w:lvl>
    <w:lvl w:ilvl="6" w:tentative="0">
      <w:start w:val="1"/>
      <w:numFmt w:val="decimal"/>
      <w:lvlText w:val="%7."/>
      <w:lvlJc w:val="left"/>
      <w:pPr>
        <w:tabs>
          <w:tab w:val="left" w:pos="3007"/>
        </w:tabs>
        <w:ind w:left="1764" w:hanging="528"/>
      </w:pPr>
      <w:rPr>
        <w:rFonts w:hint="eastAsia"/>
      </w:rPr>
    </w:lvl>
    <w:lvl w:ilvl="7" w:tentative="0">
      <w:start w:val="1"/>
      <w:numFmt w:val="lowerLetter"/>
      <w:lvlText w:val="%8)"/>
      <w:lvlJc w:val="left"/>
      <w:pPr>
        <w:tabs>
          <w:tab w:val="left" w:pos="3319"/>
        </w:tabs>
        <w:ind w:left="2076" w:hanging="528"/>
      </w:pPr>
      <w:rPr>
        <w:rFonts w:hint="eastAsia"/>
      </w:rPr>
    </w:lvl>
    <w:lvl w:ilvl="8" w:tentative="0">
      <w:start w:val="1"/>
      <w:numFmt w:val="lowerRoman"/>
      <w:lvlText w:val="%9."/>
      <w:lvlJc w:val="right"/>
      <w:pPr>
        <w:tabs>
          <w:tab w:val="left" w:pos="3631"/>
        </w:tabs>
        <w:ind w:left="2388" w:hanging="528"/>
      </w:pPr>
      <w:rPr>
        <w:rFonts w:hint="eastAsia"/>
      </w:rPr>
    </w:lvl>
  </w:abstractNum>
  <w:abstractNum w:abstractNumId="2">
    <w:nsid w:val="7CFA5B92"/>
    <w:multiLevelType w:val="multilevel"/>
    <w:tmpl w:val="7CFA5B92"/>
    <w:lvl w:ilvl="0" w:tentative="0">
      <w:start w:val="1"/>
      <w:numFmt w:val="decimal"/>
      <w:lvlText w:val="%1、"/>
      <w:lvlJc w:val="left"/>
      <w:pPr>
        <w:ind w:left="360" w:hanging="36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lYzJmZGIxZjczNGY3ZjNhODg3NTgzYzBiYzcwMzUifQ=="/>
  </w:docVars>
  <w:rsids>
    <w:rsidRoot w:val="64833076"/>
    <w:rsid w:val="000208C6"/>
    <w:rsid w:val="000266F1"/>
    <w:rsid w:val="000639DA"/>
    <w:rsid w:val="003000D1"/>
    <w:rsid w:val="00356A8C"/>
    <w:rsid w:val="00394C07"/>
    <w:rsid w:val="0049226B"/>
    <w:rsid w:val="004A7C13"/>
    <w:rsid w:val="0056610E"/>
    <w:rsid w:val="005A167E"/>
    <w:rsid w:val="00645169"/>
    <w:rsid w:val="006C77D4"/>
    <w:rsid w:val="0070545D"/>
    <w:rsid w:val="00715991"/>
    <w:rsid w:val="0076734B"/>
    <w:rsid w:val="00772A2C"/>
    <w:rsid w:val="008D2EC6"/>
    <w:rsid w:val="00A57B76"/>
    <w:rsid w:val="00D002C2"/>
    <w:rsid w:val="00E64A69"/>
    <w:rsid w:val="00E91AA2"/>
    <w:rsid w:val="00EF044F"/>
    <w:rsid w:val="01AC75F0"/>
    <w:rsid w:val="112E1DCF"/>
    <w:rsid w:val="175207E1"/>
    <w:rsid w:val="1FC372D2"/>
    <w:rsid w:val="20C31B63"/>
    <w:rsid w:val="26094761"/>
    <w:rsid w:val="289E5635"/>
    <w:rsid w:val="2AC53F95"/>
    <w:rsid w:val="2FB27C17"/>
    <w:rsid w:val="30B5176D"/>
    <w:rsid w:val="368476A2"/>
    <w:rsid w:val="3D3F6F8E"/>
    <w:rsid w:val="4C313126"/>
    <w:rsid w:val="4C4D4AF8"/>
    <w:rsid w:val="4CC0176E"/>
    <w:rsid w:val="4D237331"/>
    <w:rsid w:val="503C110B"/>
    <w:rsid w:val="56EA2A0D"/>
    <w:rsid w:val="59337A21"/>
    <w:rsid w:val="64833076"/>
    <w:rsid w:val="651901CD"/>
    <w:rsid w:val="679A4C3E"/>
    <w:rsid w:val="691504D4"/>
    <w:rsid w:val="6D265195"/>
    <w:rsid w:val="6E1A581F"/>
    <w:rsid w:val="772C3B28"/>
    <w:rsid w:val="781B0E49"/>
    <w:rsid w:val="787C60D4"/>
    <w:rsid w:val="79110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Cs w:val="21"/>
      <w:lang w:val="pl-PL" w:eastAsia="pl-PL" w:bidi="pl-PL"/>
    </w:rPr>
  </w:style>
  <w:style w:type="paragraph" w:styleId="4">
    <w:name w:val="footer"/>
    <w:basedOn w:val="1"/>
    <w:next w:val="5"/>
    <w:link w:val="12"/>
    <w:qFormat/>
    <w:uiPriority w:val="99"/>
    <w:pPr>
      <w:tabs>
        <w:tab w:val="center" w:pos="4153"/>
        <w:tab w:val="right" w:pos="8306"/>
      </w:tabs>
      <w:snapToGrid w:val="0"/>
      <w:jc w:val="left"/>
    </w:pPr>
    <w:rPr>
      <w:sz w:val="18"/>
      <w:szCs w:val="18"/>
    </w:rPr>
  </w:style>
  <w:style w:type="paragraph" w:styleId="5">
    <w:name w:val="Title"/>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标准文件_一级项"/>
    <w:qFormat/>
    <w:uiPriority w:val="0"/>
    <w:pPr>
      <w:numPr>
        <w:ilvl w:val="0"/>
        <w:numId w:val="1"/>
      </w:numPr>
    </w:pPr>
    <w:rPr>
      <w:rFonts w:ascii="宋体" w:hAnsi="Times New Roman" w:eastAsia="宋体" w:cs="Times New Roman"/>
      <w:sz w:val="21"/>
      <w:lang w:val="en-US" w:eastAsia="zh-CN" w:bidi="ar-SA"/>
    </w:rPr>
  </w:style>
  <w:style w:type="paragraph" w:styleId="10">
    <w:name w:val="List Paragraph"/>
    <w:basedOn w:val="1"/>
    <w:qFormat/>
    <w:uiPriority w:val="99"/>
    <w:pPr>
      <w:ind w:firstLine="420" w:firstLineChars="200"/>
    </w:pPr>
  </w:style>
  <w:style w:type="character" w:customStyle="1" w:styleId="11">
    <w:name w:val="页眉 字符"/>
    <w:basedOn w:val="8"/>
    <w:link w:val="6"/>
    <w:qFormat/>
    <w:uiPriority w:val="0"/>
    <w:rPr>
      <w:rFonts w:asciiTheme="minorHAnsi" w:hAnsiTheme="minorHAnsi" w:eastAsiaTheme="minorEastAsia" w:cstheme="minorBidi"/>
      <w:kern w:val="2"/>
      <w:sz w:val="18"/>
      <w:szCs w:val="18"/>
    </w:rPr>
  </w:style>
  <w:style w:type="character" w:customStyle="1" w:styleId="12">
    <w:name w:val="页脚 字符"/>
    <w:basedOn w:val="8"/>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1451</Words>
  <Characters>1542</Characters>
  <Lines>13</Lines>
  <Paragraphs>3</Paragraphs>
  <TotalTime>12</TotalTime>
  <ScaleCrop>false</ScaleCrop>
  <LinksUpToDate>false</LinksUpToDate>
  <CharactersWithSpaces>1616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2021-05-24T07:12:00Z</dcterms:created>
  <dc:creator>《陶园茗茶业》仪征捺山桃源春茶场</dc:creator>
  <cp:lastModifiedBy>左满舵</cp:lastModifiedBy>
  <dcterms:modified xsi:type="dcterms:W3CDTF">2024-08-08T09:09:49Z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99E7CF9479BA467D93438E3E6DB2A0CF</vt:lpwstr>
  </property>
</Properties>
</file>